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842648">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F45D2C">
              <w:rPr>
                <w:b/>
                <w:sz w:val="22"/>
                <w:szCs w:val="22"/>
                <w:lang w:val="it-IT" w:bidi="it-IT"/>
              </w:rPr>
              <w:t>2</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bookmarkStart w:id="0" w:name="_GoBack"/>
            <w:bookmarkEnd w:id="0"/>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 xml:space="preserve">Procedura negoziata di importo inferiore alla soglia comunitaria, ai sensi degli artt. 36, comma 2, </w:t>
            </w:r>
            <w:proofErr w:type="spellStart"/>
            <w:r w:rsidRPr="00F2503B">
              <w:rPr>
                <w:b/>
                <w:bCs/>
                <w:iCs/>
                <w:sz w:val="22"/>
                <w:szCs w:val="22"/>
                <w:lang w:val="it-IT" w:eastAsia="it-IT" w:bidi="it-IT"/>
              </w:rPr>
              <w:t>lett</w:t>
            </w:r>
            <w:proofErr w:type="spellEnd"/>
            <w:r w:rsidRPr="00F2503B">
              <w:rPr>
                <w:b/>
                <w:bCs/>
                <w:iCs/>
                <w:sz w:val="22"/>
                <w:szCs w:val="22"/>
                <w:lang w:val="it-IT" w:eastAsia="it-IT" w:bidi="it-IT"/>
              </w:rPr>
              <w:t xml:space="preserve">. b), per l’affidamento </w:t>
            </w:r>
            <w:proofErr w:type="gramStart"/>
            <w:r w:rsidRPr="00F2503B">
              <w:rPr>
                <w:b/>
                <w:bCs/>
                <w:iCs/>
                <w:sz w:val="22"/>
                <w:szCs w:val="22"/>
                <w:lang w:val="it-IT" w:eastAsia="it-IT" w:bidi="it-IT"/>
              </w:rPr>
              <w:t xml:space="preserve">del </w:t>
            </w:r>
            <w:r w:rsidR="00F45D2C">
              <w:t xml:space="preserve"> </w:t>
            </w:r>
            <w:r w:rsidR="00F45D2C" w:rsidRPr="00F45D2C">
              <w:rPr>
                <w:b/>
                <w:bCs/>
                <w:i/>
                <w:iCs/>
                <w:sz w:val="22"/>
                <w:szCs w:val="22"/>
                <w:lang w:val="it-IT" w:eastAsia="it-IT" w:bidi="it-IT"/>
              </w:rPr>
              <w:t>“</w:t>
            </w:r>
            <w:proofErr w:type="gramEnd"/>
            <w:r w:rsidR="00F45D2C" w:rsidRPr="00F45D2C">
              <w:rPr>
                <w:b/>
                <w:bCs/>
                <w:i/>
                <w:iCs/>
                <w:sz w:val="22"/>
                <w:szCs w:val="22"/>
                <w:lang w:val="it-IT" w:eastAsia="it-IT" w:bidi="it-IT"/>
              </w:rPr>
              <w:t xml:space="preserve">Servizio di cassa a favore </w:t>
            </w:r>
            <w:r w:rsidR="0075029A" w:rsidRPr="00E33636">
              <w:rPr>
                <w:rFonts w:ascii="Cambria" w:hAnsi="Cambria"/>
                <w:b/>
                <w:i/>
                <w:sz w:val="20"/>
                <w:szCs w:val="20"/>
              </w:rPr>
              <w:t xml:space="preserve"> </w:t>
            </w:r>
            <w:proofErr w:type="spellStart"/>
            <w:r w:rsidR="0075029A" w:rsidRPr="00E33636">
              <w:rPr>
                <w:rFonts w:ascii="Cambria" w:hAnsi="Cambria"/>
                <w:b/>
                <w:i/>
                <w:sz w:val="20"/>
                <w:szCs w:val="20"/>
              </w:rPr>
              <w:t>dell’I.T</w:t>
            </w:r>
            <w:proofErr w:type="spellEnd"/>
            <w:r w:rsidR="0075029A" w:rsidRPr="00E33636">
              <w:rPr>
                <w:rFonts w:ascii="Cambria" w:hAnsi="Cambria"/>
                <w:b/>
                <w:i/>
                <w:sz w:val="20"/>
                <w:szCs w:val="20"/>
              </w:rPr>
              <w:t xml:space="preserve">. Carlo </w:t>
            </w:r>
            <w:proofErr w:type="spellStart"/>
            <w:r w:rsidR="0075029A" w:rsidRPr="00E33636">
              <w:rPr>
                <w:rFonts w:ascii="Cambria" w:hAnsi="Cambria"/>
                <w:b/>
                <w:i/>
                <w:sz w:val="20"/>
                <w:szCs w:val="20"/>
              </w:rPr>
              <w:t>Cattaneo</w:t>
            </w:r>
            <w:proofErr w:type="spellEnd"/>
            <w:r w:rsidR="0075029A" w:rsidRPr="00F45D2C">
              <w:rPr>
                <w:b/>
                <w:bCs/>
                <w:i/>
                <w:iCs/>
                <w:sz w:val="22"/>
                <w:szCs w:val="22"/>
                <w:lang w:val="it-IT" w:eastAsia="it-IT" w:bidi="it-IT"/>
              </w:rPr>
              <w:t xml:space="preserve"> </w:t>
            </w:r>
            <w:r w:rsidR="0075029A">
              <w:rPr>
                <w:b/>
                <w:bCs/>
                <w:i/>
                <w:iCs/>
                <w:sz w:val="22"/>
                <w:szCs w:val="22"/>
                <w:lang w:val="it-IT" w:eastAsia="it-IT" w:bidi="it-IT"/>
              </w:rPr>
              <w:t>di San Miniato (PI)</w:t>
            </w:r>
            <w:r w:rsidR="00F45D2C" w:rsidRPr="00F45D2C">
              <w:rPr>
                <w:b/>
                <w:bCs/>
                <w:i/>
                <w:iCs/>
                <w:sz w:val="22"/>
                <w:szCs w:val="22"/>
                <w:lang w:val="it-IT" w:eastAsia="it-IT" w:bidi="it-IT"/>
              </w:rPr>
              <w:t>”</w:t>
            </w:r>
          </w:p>
          <w:p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r w:rsidRPr="00F2503B">
        <w:rPr>
          <w:b/>
          <w:sz w:val="22"/>
          <w:szCs w:val="22"/>
          <w:lang w:val="it-IT"/>
        </w:rPr>
        <w:t xml:space="preserve">con sede nel Comune </w:t>
      </w:r>
      <w:proofErr w:type="gramStart"/>
      <w:r w:rsidRPr="00F2503B">
        <w:rPr>
          <w:b/>
          <w:sz w:val="22"/>
          <w:szCs w:val="22"/>
          <w:lang w:val="it-IT"/>
        </w:rPr>
        <w:t>di</w:t>
      </w:r>
      <w:r w:rsidRPr="00F2503B">
        <w:rPr>
          <w:sz w:val="22"/>
          <w:szCs w:val="22"/>
          <w:lang w:val="it-IT"/>
        </w:rPr>
        <w:t>:_</w:t>
      </w:r>
      <w:proofErr w:type="gramEnd"/>
      <w:r w:rsidRPr="00F2503B">
        <w:rPr>
          <w:sz w:val="22"/>
          <w:szCs w:val="22"/>
          <w:lang w:val="it-IT"/>
        </w:rPr>
        <w:t xml:space="preserve">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842648">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Pr="00F2503B">
        <w:rPr>
          <w:sz w:val="22"/>
          <w:szCs w:val="22"/>
          <w:lang w:val="it-IT"/>
        </w:rPr>
        <w:t>:</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lastRenderedPageBreak/>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proofErr w:type="gramStart"/>
      <w:r w:rsidRPr="00F2503B">
        <w:rPr>
          <w:b/>
          <w:sz w:val="22"/>
          <w:szCs w:val="22"/>
          <w:lang w:val="it-IT"/>
        </w:rPr>
        <w:t>D.Lgs</w:t>
      </w:r>
      <w:proofErr w:type="gramEnd"/>
      <w:r w:rsidRPr="00F2503B">
        <w:rPr>
          <w:b/>
          <w:sz w:val="22"/>
          <w:szCs w:val="22"/>
          <w:lang w:val="it-IT"/>
        </w:rPr>
        <w:t>.</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842648"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842648"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proofErr w:type="gramStart"/>
            <w:r w:rsidRPr="00F2503B">
              <w:rPr>
                <w:sz w:val="22"/>
                <w:szCs w:val="22"/>
                <w:lang w:val="it-IT"/>
              </w:rPr>
              <w:t>D.Lgs</w:t>
            </w:r>
            <w:proofErr w:type="gramEnd"/>
            <w:r w:rsidRPr="00F2503B">
              <w:rPr>
                <w:sz w:val="22"/>
                <w:szCs w:val="22"/>
                <w:lang w:val="it-IT"/>
              </w:rPr>
              <w:t>.</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proofErr w:type="gramStart"/>
      <w:r w:rsidRPr="00F2503B">
        <w:rPr>
          <w:sz w:val="22"/>
          <w:szCs w:val="22"/>
          <w:lang w:val="it-IT"/>
        </w:rPr>
        <w:t>D.Lgs</w:t>
      </w:r>
      <w:proofErr w:type="gramEnd"/>
      <w:r w:rsidRPr="00F2503B">
        <w:rPr>
          <w:sz w:val="22"/>
          <w:szCs w:val="22"/>
          <w:lang w:val="it-IT"/>
        </w:rPr>
        <w:t>.</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842648"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lastRenderedPageBreak/>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842648"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proofErr w:type="gramStart"/>
      <w:r w:rsidR="0088783B" w:rsidRPr="00F2503B">
        <w:rPr>
          <w:b/>
          <w:sz w:val="22"/>
          <w:szCs w:val="22"/>
          <w:lang w:val="it-IT"/>
        </w:rPr>
        <w:t>D.Lgs</w:t>
      </w:r>
      <w:proofErr w:type="gramEnd"/>
      <w:r w:rsidR="0088783B" w:rsidRPr="00F2503B">
        <w:rPr>
          <w:b/>
          <w:sz w:val="22"/>
          <w:szCs w:val="22"/>
          <w:lang w:val="it-IT"/>
        </w:rPr>
        <w:t>.</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lastRenderedPageBreak/>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842648"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842648"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lastRenderedPageBreak/>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42648"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42648"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proofErr w:type="gramStart"/>
      <w:r w:rsidR="0088783B" w:rsidRPr="00F2503B">
        <w:rPr>
          <w:b/>
          <w:sz w:val="22"/>
          <w:szCs w:val="22"/>
          <w:lang w:val="it-IT"/>
        </w:rPr>
        <w:t>D.Lgs</w:t>
      </w:r>
      <w:proofErr w:type="gramEnd"/>
      <w:r w:rsidR="0088783B" w:rsidRPr="00F2503B">
        <w:rPr>
          <w:b/>
          <w:sz w:val="22"/>
          <w:szCs w:val="22"/>
          <w:lang w:val="it-IT"/>
        </w:rPr>
        <w:t>.</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lastRenderedPageBreak/>
        <w:t xml:space="preserve">di essere in regola rispetto alla normativa antimafia, con riferimento a quanto previsto dall’art. 80, comma 2, seconda parte del </w:t>
      </w:r>
      <w:proofErr w:type="spellStart"/>
      <w:proofErr w:type="gramStart"/>
      <w:r w:rsidRPr="00F2503B">
        <w:rPr>
          <w:sz w:val="22"/>
          <w:szCs w:val="22"/>
          <w:lang w:val="it-IT"/>
        </w:rPr>
        <w:t>D.Lgs</w:t>
      </w:r>
      <w:proofErr w:type="gramEnd"/>
      <w:r w:rsidRPr="00F2503B">
        <w:rPr>
          <w:sz w:val="22"/>
          <w:szCs w:val="22"/>
          <w:lang w:val="it-IT"/>
        </w:rPr>
        <w:t>.</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proofErr w:type="gramStart"/>
      <w:r w:rsidR="003C31CE" w:rsidRPr="00F2503B">
        <w:rPr>
          <w:b/>
          <w:sz w:val="22"/>
          <w:szCs w:val="22"/>
          <w:lang w:val="it-IT"/>
        </w:rPr>
        <w:t>D.Lgs</w:t>
      </w:r>
      <w:proofErr w:type="gramEnd"/>
      <w:r w:rsidR="003C31CE" w:rsidRPr="00F2503B">
        <w:rPr>
          <w:b/>
          <w:sz w:val="22"/>
          <w:szCs w:val="22"/>
          <w:lang w:val="it-IT"/>
        </w:rPr>
        <w:t>.</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proofErr w:type="gramStart"/>
      <w:r w:rsidR="004416F7" w:rsidRPr="00F2503B">
        <w:rPr>
          <w:b/>
          <w:sz w:val="22"/>
          <w:szCs w:val="22"/>
          <w:lang w:val="it-IT"/>
        </w:rPr>
        <w:t>D.Lgs</w:t>
      </w:r>
      <w:proofErr w:type="gramEnd"/>
      <w:r w:rsidR="004416F7" w:rsidRPr="00F2503B">
        <w:rPr>
          <w:b/>
          <w:sz w:val="22"/>
          <w:szCs w:val="22"/>
          <w:lang w:val="it-IT"/>
        </w:rPr>
        <w:t>.</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lastRenderedPageBreak/>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proofErr w:type="gramStart"/>
      <w:r w:rsidR="00417697" w:rsidRPr="00F2503B">
        <w:rPr>
          <w:sz w:val="22"/>
          <w:szCs w:val="22"/>
          <w:lang w:val="it-IT"/>
        </w:rPr>
        <w:t>D.Lgs</w:t>
      </w:r>
      <w:proofErr w:type="gramEnd"/>
      <w:r w:rsidR="00417697" w:rsidRPr="00F2503B">
        <w:rPr>
          <w:sz w:val="22"/>
          <w:szCs w:val="22"/>
          <w:lang w:val="it-IT"/>
        </w:rPr>
        <w:t>.</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w:t>
      </w:r>
      <w:r w:rsidR="0018674F" w:rsidRPr="00F2503B">
        <w:rPr>
          <w:b/>
          <w:sz w:val="22"/>
          <w:szCs w:val="22"/>
          <w:lang w:val="it-IT"/>
        </w:rPr>
        <w:t>ett</w:t>
      </w:r>
      <w:proofErr w:type="spellEnd"/>
      <w:r w:rsidR="0018674F" w:rsidRPr="00F2503B">
        <w:rPr>
          <w:b/>
          <w:sz w:val="22"/>
          <w:szCs w:val="22"/>
          <w:lang w:val="it-IT"/>
        </w:rPr>
        <w: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xml:space="preserve">.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f-ter)</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lastRenderedPageBreak/>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 xml:space="preserve">accertamento definitivo della violazione del divieto di intestazione fiduciaria posto dall’art. 17 della l. n. 55 del 19 marzo 1990 e </w:t>
      </w:r>
      <w:proofErr w:type="spellStart"/>
      <w:r w:rsidRPr="00F2503B">
        <w:rPr>
          <w:sz w:val="22"/>
          <w:szCs w:val="22"/>
          <w:lang w:val="it-IT"/>
        </w:rPr>
        <w:t>s.m</w:t>
      </w:r>
      <w:proofErr w:type="spellEnd"/>
      <w:r w:rsidRPr="00F2503B">
        <w:rPr>
          <w:sz w:val="22"/>
          <w:szCs w:val="22"/>
          <w:lang w:val="it-IT"/>
        </w:rPr>
        <w:t>.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w:t>
      </w:r>
      <w:r w:rsidR="00A750EC" w:rsidRPr="00F2503B">
        <w:rPr>
          <w:sz w:val="22"/>
          <w:szCs w:val="22"/>
          <w:lang w:val="it-IT"/>
        </w:rPr>
        <w:lastRenderedPageBreak/>
        <w:t xml:space="preserve">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842648"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lastRenderedPageBreak/>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proofErr w:type="gramStart"/>
      <w:r w:rsidRPr="00F2503B">
        <w:rPr>
          <w:b/>
          <w:sz w:val="22"/>
          <w:szCs w:val="22"/>
          <w:lang w:val="it-IT"/>
        </w:rPr>
        <w:t>D.Lgs</w:t>
      </w:r>
      <w:proofErr w:type="gramEnd"/>
      <w:r w:rsidRPr="00F2503B">
        <w:rPr>
          <w:b/>
          <w:sz w:val="22"/>
          <w:szCs w:val="22"/>
          <w:lang w:val="it-IT"/>
        </w:rPr>
        <w:t>.</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w:t>
      </w:r>
      <w:proofErr w:type="spellStart"/>
      <w:r w:rsidR="00A84055" w:rsidRPr="00F2503B">
        <w:rPr>
          <w:sz w:val="22"/>
          <w:szCs w:val="22"/>
          <w:lang w:val="it-IT"/>
        </w:rPr>
        <w:t>lett</w:t>
      </w:r>
      <w:proofErr w:type="spellEnd"/>
      <w:r w:rsidR="00A84055" w:rsidRPr="00F2503B">
        <w:rPr>
          <w:sz w:val="22"/>
          <w:szCs w:val="22"/>
          <w:lang w:val="it-IT"/>
        </w:rPr>
        <w:t xml:space="preserve">.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w:t>
      </w:r>
      <w:proofErr w:type="spellStart"/>
      <w:r w:rsidR="00A84055" w:rsidRPr="00F2503B">
        <w:rPr>
          <w:sz w:val="22"/>
          <w:szCs w:val="22"/>
          <w:lang w:val="it-IT"/>
        </w:rPr>
        <w:t>lett</w:t>
      </w:r>
      <w:proofErr w:type="spellEnd"/>
      <w:r w:rsidR="00A84055" w:rsidRPr="00F2503B">
        <w:rPr>
          <w:sz w:val="22"/>
          <w:szCs w:val="22"/>
          <w:lang w:val="it-IT"/>
        </w:rPr>
        <w:t xml:space="preserve">.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 xml:space="preserve">(cfr. sezione A5, </w:t>
      </w:r>
      <w:proofErr w:type="spellStart"/>
      <w:r w:rsidR="0073209A" w:rsidRPr="00F2503B">
        <w:rPr>
          <w:sz w:val="22"/>
          <w:szCs w:val="22"/>
          <w:lang w:val="it-IT"/>
        </w:rPr>
        <w:t>lett</w:t>
      </w:r>
      <w:proofErr w:type="spellEnd"/>
      <w:r w:rsidR="0073209A" w:rsidRPr="00F2503B">
        <w:rPr>
          <w:sz w:val="22"/>
          <w:szCs w:val="22"/>
          <w:lang w:val="it-IT"/>
        </w:rPr>
        <w: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xml:space="preserve">.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F2503B">
        <w:rPr>
          <w:sz w:val="22"/>
          <w:szCs w:val="22"/>
          <w:lang w:val="it-IT"/>
        </w:rPr>
        <w:t>lett</w:t>
      </w:r>
      <w:proofErr w:type="spellEnd"/>
      <w:r w:rsidRPr="00F2503B">
        <w:rPr>
          <w:sz w:val="22"/>
          <w:szCs w:val="22"/>
          <w:lang w:val="it-IT"/>
        </w:rPr>
        <w:t>. f-ter,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002840BE" w:rsidRPr="00F2503B">
        <w:rPr>
          <w:sz w:val="22"/>
          <w:szCs w:val="22"/>
          <w:lang w:val="it-IT"/>
        </w:rPr>
        <w:t>lett</w:t>
      </w:r>
      <w:proofErr w:type="spellEnd"/>
      <w:r w:rsidR="002840BE" w:rsidRPr="00F2503B">
        <w:rPr>
          <w:sz w:val="22"/>
          <w:szCs w:val="22"/>
          <w:lang w:val="it-IT"/>
        </w:rPr>
        <w: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xml:space="preserve">, ove la violazione non sia stata rimossa (cfr. sezione A5, </w:t>
      </w:r>
      <w:proofErr w:type="spellStart"/>
      <w:r w:rsidR="00A84055" w:rsidRPr="00F2503B">
        <w:rPr>
          <w:sz w:val="22"/>
          <w:szCs w:val="22"/>
          <w:lang w:val="it-IT"/>
        </w:rPr>
        <w:t>lett</w:t>
      </w:r>
      <w:proofErr w:type="spellEnd"/>
      <w:r w:rsidR="00A84055" w:rsidRPr="00F2503B">
        <w:rPr>
          <w:sz w:val="22"/>
          <w:szCs w:val="22"/>
          <w:lang w:val="it-IT"/>
        </w:rPr>
        <w: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 xml:space="preserve">conomico, delle prescrizioni contenute </w:t>
      </w:r>
      <w:proofErr w:type="gramStart"/>
      <w:r w:rsidRPr="00F2503B">
        <w:rPr>
          <w:sz w:val="22"/>
          <w:szCs w:val="22"/>
          <w:lang w:val="it-IT"/>
        </w:rPr>
        <w:t>nella  legge</w:t>
      </w:r>
      <w:proofErr w:type="gramEnd"/>
      <w:r w:rsidRPr="00F2503B">
        <w:rPr>
          <w:sz w:val="22"/>
          <w:szCs w:val="22"/>
          <w:lang w:val="it-IT"/>
        </w:rPr>
        <w:t xml:space="preserve"> n. 68 del 12 marzo 1999, in materia di assunzioni di soggetti disabili (cfr. sezione A5, </w:t>
      </w:r>
      <w:proofErr w:type="spellStart"/>
      <w:r w:rsidRPr="00F2503B">
        <w:rPr>
          <w:sz w:val="22"/>
          <w:szCs w:val="22"/>
          <w:lang w:val="it-IT"/>
        </w:rPr>
        <w:t>lett</w:t>
      </w:r>
      <w:proofErr w:type="spellEnd"/>
      <w:r w:rsidRPr="00F2503B">
        <w:rPr>
          <w:sz w:val="22"/>
          <w:szCs w:val="22"/>
          <w:lang w:val="it-IT"/>
        </w:rPr>
        <w: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w:t>
      </w:r>
      <w:proofErr w:type="spellStart"/>
      <w:r w:rsidRPr="00F2503B">
        <w:rPr>
          <w:sz w:val="22"/>
          <w:szCs w:val="22"/>
          <w:lang w:val="it-IT"/>
        </w:rPr>
        <w:t>lett</w:t>
      </w:r>
      <w:proofErr w:type="spellEnd"/>
      <w:r w:rsidRPr="00F2503B">
        <w:rPr>
          <w:sz w:val="22"/>
          <w:szCs w:val="22"/>
          <w:lang w:val="it-IT"/>
        </w:rPr>
        <w:t xml:space="preserve">. l)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842648"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w:t>
      </w:r>
      <w:proofErr w:type="gramStart"/>
      <w:r w:rsidRPr="00F2503B">
        <w:rPr>
          <w:sz w:val="22"/>
          <w:szCs w:val="22"/>
          <w:lang w:val="it-IT"/>
        </w:rPr>
        <w:t xml:space="preserve">prima </w:t>
      </w:r>
      <w:r w:rsidR="000B7229" w:rsidRPr="00F2503B">
        <w:rPr>
          <w:sz w:val="22"/>
          <w:szCs w:val="22"/>
          <w:lang w:val="it-IT"/>
        </w:rPr>
        <w:t>,</w:t>
      </w:r>
      <w:proofErr w:type="gramEnd"/>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w:t>
      </w:r>
      <w:r w:rsidRPr="00F2503B">
        <w:rPr>
          <w:sz w:val="22"/>
          <w:szCs w:val="22"/>
          <w:lang w:val="it-IT"/>
        </w:rPr>
        <w:lastRenderedPageBreak/>
        <w:t xml:space="preserve">e dagli accordi locali integrativi relativi al luogo in cui si trova la propria sede, nonché di rispettare le forme e le procedure previste in materia dalla l. n. 55 del 19 marzo 1990 e </w:t>
      </w:r>
      <w:proofErr w:type="spellStart"/>
      <w:r w:rsidRPr="00F2503B">
        <w:rPr>
          <w:sz w:val="22"/>
          <w:szCs w:val="22"/>
          <w:lang w:val="it-IT"/>
        </w:rPr>
        <w:t>s.m</w:t>
      </w:r>
      <w:proofErr w:type="spellEnd"/>
      <w:r w:rsidRPr="00F2503B">
        <w:rPr>
          <w:sz w:val="22"/>
          <w:szCs w:val="22"/>
          <w:lang w:val="it-IT"/>
        </w:rPr>
        <w:t>.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proofErr w:type="gramStart"/>
      <w:r w:rsidRPr="00F2503B">
        <w:rPr>
          <w:sz w:val="22"/>
          <w:szCs w:val="22"/>
          <w:lang w:val="it-IT"/>
        </w:rPr>
        <w:t>D.Lgs</w:t>
      </w:r>
      <w:proofErr w:type="gramEnd"/>
      <w:r w:rsidRPr="00F2503B">
        <w:rPr>
          <w:sz w:val="22"/>
          <w:szCs w:val="22"/>
          <w:lang w:val="it-IT"/>
        </w:rPr>
        <w:t>.</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proofErr w:type="gramStart"/>
      <w:r w:rsidRPr="00F2503B">
        <w:rPr>
          <w:i/>
          <w:sz w:val="22"/>
          <w:szCs w:val="22"/>
          <w:lang w:val="it-IT"/>
        </w:rPr>
        <w:t>D.Lgs</w:t>
      </w:r>
      <w:proofErr w:type="gramEnd"/>
      <w:r w:rsidRPr="00F2503B">
        <w:rPr>
          <w:i/>
          <w:sz w:val="22"/>
          <w:szCs w:val="22"/>
          <w:lang w:val="it-IT"/>
        </w:rPr>
        <w:t>.</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proofErr w:type="gramStart"/>
      <w:r w:rsidRPr="00F2503B">
        <w:rPr>
          <w:i/>
          <w:sz w:val="22"/>
          <w:szCs w:val="22"/>
          <w:lang w:val="it-IT"/>
        </w:rPr>
        <w:t>D.Lgs</w:t>
      </w:r>
      <w:proofErr w:type="gramEnd"/>
      <w:r w:rsidRPr="00F2503B">
        <w:rPr>
          <w:i/>
          <w:sz w:val="22"/>
          <w:szCs w:val="22"/>
          <w:lang w:val="it-IT"/>
        </w:rPr>
        <w:t>.</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proofErr w:type="gramStart"/>
      <w:r w:rsidRPr="00F2503B">
        <w:rPr>
          <w:i/>
          <w:sz w:val="22"/>
          <w:szCs w:val="22"/>
          <w:lang w:val="it-IT"/>
        </w:rPr>
        <w:t>D.Lgs</w:t>
      </w:r>
      <w:proofErr w:type="gramEnd"/>
      <w:r w:rsidRPr="00F2503B">
        <w:rPr>
          <w:i/>
          <w:sz w:val="22"/>
          <w:szCs w:val="22"/>
          <w:lang w:val="it-IT"/>
        </w:rPr>
        <w:t>.</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w:t>
      </w:r>
      <w:proofErr w:type="gramStart"/>
      <w:r w:rsidR="0073209A" w:rsidRPr="00F2503B">
        <w:rPr>
          <w:sz w:val="22"/>
          <w:szCs w:val="22"/>
          <w:lang w:val="it-IT"/>
        </w:rPr>
        <w:t xml:space="preserve">186  </w:t>
      </w:r>
      <w:r w:rsidR="0073209A" w:rsidRPr="00F2503B">
        <w:rPr>
          <w:i/>
          <w:sz w:val="22"/>
          <w:szCs w:val="22"/>
          <w:lang w:val="it-IT"/>
        </w:rPr>
        <w:t>bis</w:t>
      </w:r>
      <w:proofErr w:type="gramEnd"/>
      <w:r w:rsidR="0073209A" w:rsidRPr="00F2503B">
        <w:rPr>
          <w:i/>
          <w:sz w:val="22"/>
          <w:szCs w:val="22"/>
          <w:lang w:val="it-IT"/>
        </w:rPr>
        <w:t>,</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proofErr w:type="gramStart"/>
      <w:r w:rsidRPr="00F2503B">
        <w:rPr>
          <w:color w:val="000000"/>
          <w:sz w:val="22"/>
          <w:szCs w:val="22"/>
          <w:lang w:val="it-IT"/>
        </w:rPr>
        <w:t>D.Lgs</w:t>
      </w:r>
      <w:proofErr w:type="spellEnd"/>
      <w:proofErr w:type="gram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w:t>
      </w:r>
      <w:proofErr w:type="gramStart"/>
      <w:r w:rsidRPr="00F2503B">
        <w:rPr>
          <w:sz w:val="22"/>
          <w:szCs w:val="22"/>
          <w:lang w:val="it-IT"/>
        </w:rPr>
        <w:t xml:space="preserve">qualità </w:t>
      </w:r>
      <w:r w:rsidR="007D52C3" w:rsidRPr="00F2503B">
        <w:rPr>
          <w:i/>
          <w:sz w:val="22"/>
          <w:szCs w:val="22"/>
          <w:lang w:val="it-IT"/>
        </w:rPr>
        <w:t xml:space="preserve"> _</w:t>
      </w:r>
      <w:proofErr w:type="gramEnd"/>
      <w:r w:rsidR="007D52C3" w:rsidRPr="00F2503B">
        <w:rPr>
          <w:i/>
          <w:sz w:val="22"/>
          <w:szCs w:val="22"/>
          <w:lang w:val="it-IT"/>
        </w:rPr>
        <w:t>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lastRenderedPageBreak/>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proofErr w:type="gramStart"/>
      <w:r w:rsidRPr="00F2503B">
        <w:rPr>
          <w:b/>
          <w:color w:val="000000"/>
          <w:sz w:val="22"/>
          <w:szCs w:val="22"/>
          <w:lang w:val="it-IT"/>
        </w:rPr>
        <w:t>D.Lgs</w:t>
      </w:r>
      <w:proofErr w:type="gramEnd"/>
      <w:r w:rsidRPr="00F2503B">
        <w:rPr>
          <w:b/>
          <w:color w:val="000000"/>
          <w:sz w:val="22"/>
          <w:szCs w:val="22"/>
          <w:lang w:val="it-IT"/>
        </w:rPr>
        <w:t>.</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lastRenderedPageBreak/>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 xml:space="preserve">è </w:t>
      </w:r>
      <w:proofErr w:type="spellStart"/>
      <w:r w:rsidRPr="00F2503B">
        <w:rPr>
          <w:bCs/>
          <w:sz w:val="22"/>
          <w:szCs w:val="22"/>
          <w:lang w:val="it-IT"/>
        </w:rPr>
        <w:t>microimpresa</w:t>
      </w:r>
      <w:proofErr w:type="spellEnd"/>
      <w:r w:rsidRPr="00F2503B">
        <w:rPr>
          <w:bCs/>
          <w:sz w:val="22"/>
          <w:szCs w:val="22"/>
          <w:lang w:val="it-IT"/>
        </w:rPr>
        <w:t>,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 xml:space="preserve">carbon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lastRenderedPageBreak/>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proofErr w:type="gramStart"/>
      <w:r w:rsidRPr="00F2503B">
        <w:rPr>
          <w:sz w:val="22"/>
          <w:szCs w:val="22"/>
          <w:lang w:val="it-IT"/>
        </w:rPr>
        <w:t>D.Lgs</w:t>
      </w:r>
      <w:proofErr w:type="gramEnd"/>
      <w:r w:rsidRPr="00F2503B">
        <w:rPr>
          <w:sz w:val="22"/>
          <w:szCs w:val="22"/>
          <w:lang w:val="it-IT"/>
        </w:rPr>
        <w:t>.</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proofErr w:type="gramStart"/>
      <w:r w:rsidRPr="00F2503B">
        <w:rPr>
          <w:color w:val="000000"/>
          <w:sz w:val="22"/>
          <w:szCs w:val="22"/>
          <w:lang w:val="it-IT"/>
        </w:rPr>
        <w:t>D.Lgs</w:t>
      </w:r>
      <w:proofErr w:type="gramEnd"/>
      <w:r w:rsidRPr="00F2503B">
        <w:rPr>
          <w:color w:val="000000"/>
          <w:sz w:val="22"/>
          <w:szCs w:val="22"/>
          <w:lang w:val="it-IT"/>
        </w:rPr>
        <w:t>.</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proofErr w:type="gramStart"/>
      <w:r w:rsidRPr="00F2503B">
        <w:rPr>
          <w:color w:val="000000"/>
          <w:sz w:val="22"/>
          <w:szCs w:val="22"/>
          <w:lang w:val="it-IT"/>
        </w:rPr>
        <w:t>D.Lgs</w:t>
      </w:r>
      <w:proofErr w:type="gramEnd"/>
      <w:r w:rsidRPr="00F2503B">
        <w:rPr>
          <w:color w:val="000000"/>
          <w:sz w:val="22"/>
          <w:szCs w:val="22"/>
          <w:lang w:val="it-IT"/>
        </w:rPr>
        <w:t>.</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proofErr w:type="gramStart"/>
      <w:r w:rsidRPr="00F2503B">
        <w:rPr>
          <w:color w:val="000000"/>
          <w:sz w:val="22"/>
          <w:szCs w:val="22"/>
          <w:lang w:val="it-IT"/>
        </w:rPr>
        <w:t>D.Lgs</w:t>
      </w:r>
      <w:proofErr w:type="gramEnd"/>
      <w:r w:rsidRPr="00F2503B">
        <w:rPr>
          <w:color w:val="000000"/>
          <w:sz w:val="22"/>
          <w:szCs w:val="22"/>
          <w:lang w:val="it-IT"/>
        </w:rPr>
        <w:t>.</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lastRenderedPageBreak/>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proofErr w:type="gramStart"/>
      <w:r w:rsidRPr="00F2503B">
        <w:rPr>
          <w:sz w:val="22"/>
          <w:szCs w:val="22"/>
          <w:lang w:val="it-IT"/>
        </w:rPr>
        <w:t>D.Lgs</w:t>
      </w:r>
      <w:proofErr w:type="gramEnd"/>
      <w:r w:rsidRPr="00F2503B">
        <w:rPr>
          <w:sz w:val="22"/>
          <w:szCs w:val="22"/>
          <w:lang w:val="it-IT"/>
        </w:rPr>
        <w:t>.</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proofErr w:type="gramStart"/>
      <w:r w:rsidRPr="00F2503B">
        <w:rPr>
          <w:sz w:val="22"/>
          <w:szCs w:val="22"/>
          <w:lang w:val="it-IT"/>
        </w:rPr>
        <w:t>D.Lgs</w:t>
      </w:r>
      <w:proofErr w:type="gramEnd"/>
      <w:r w:rsidRPr="00F2503B">
        <w:rPr>
          <w:sz w:val="22"/>
          <w:szCs w:val="22"/>
          <w:lang w:val="it-IT"/>
        </w:rPr>
        <w:t>.</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lastRenderedPageBreak/>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proofErr w:type="gramStart"/>
      <w:r w:rsidRPr="00F2503B">
        <w:rPr>
          <w:sz w:val="22"/>
          <w:szCs w:val="22"/>
          <w:lang w:val="it-IT"/>
        </w:rPr>
        <w:t>D.Lgs</w:t>
      </w:r>
      <w:proofErr w:type="gramEnd"/>
      <w:r w:rsidRPr="00F2503B">
        <w:rPr>
          <w:sz w:val="22"/>
          <w:szCs w:val="22"/>
          <w:lang w:val="it-IT"/>
        </w:rPr>
        <w:t>.</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xml:space="preserve">, </w:t>
      </w:r>
      <w:proofErr w:type="spellStart"/>
      <w:r w:rsidRPr="00F2503B">
        <w:rPr>
          <w:b/>
          <w:sz w:val="22"/>
          <w:szCs w:val="22"/>
          <w:lang w:val="it-IT"/>
        </w:rPr>
        <w:t>lett</w:t>
      </w:r>
      <w:proofErr w:type="spellEnd"/>
      <w:r w:rsidRPr="00F2503B">
        <w:rPr>
          <w:b/>
          <w:sz w:val="22"/>
          <w:szCs w:val="22"/>
          <w:lang w:val="it-IT"/>
        </w:rPr>
        <w:t>. b)</w:t>
      </w:r>
      <w:r w:rsidR="00D1124A" w:rsidRPr="00F2503B">
        <w:rPr>
          <w:b/>
          <w:sz w:val="22"/>
          <w:szCs w:val="22"/>
          <w:lang w:val="it-IT"/>
        </w:rPr>
        <w:t xml:space="preserve"> e</w:t>
      </w:r>
      <w:r w:rsidRPr="00F2503B">
        <w:rPr>
          <w:b/>
          <w:sz w:val="22"/>
          <w:szCs w:val="22"/>
          <w:lang w:val="it-IT"/>
        </w:rPr>
        <w:t xml:space="preserve"> c) del </w:t>
      </w:r>
      <w:proofErr w:type="spellStart"/>
      <w:proofErr w:type="gramStart"/>
      <w:r w:rsidRPr="00F2503B">
        <w:rPr>
          <w:b/>
          <w:sz w:val="22"/>
          <w:szCs w:val="22"/>
          <w:lang w:val="it-IT"/>
        </w:rPr>
        <w:t>D.Lgs</w:t>
      </w:r>
      <w:proofErr w:type="gramEnd"/>
      <w:r w:rsidRPr="00F2503B">
        <w:rPr>
          <w:b/>
          <w:sz w:val="22"/>
          <w:szCs w:val="22"/>
          <w:lang w:val="it-IT"/>
        </w:rPr>
        <w:t>.</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 xml:space="preserve">il consorzio concorre sono i </w:t>
      </w:r>
      <w:proofErr w:type="gramStart"/>
      <w:r w:rsidRPr="00F2503B">
        <w:rPr>
          <w:sz w:val="22"/>
          <w:szCs w:val="22"/>
          <w:lang w:val="it-IT"/>
        </w:rPr>
        <w:t>seguenti:_</w:t>
      </w:r>
      <w:proofErr w:type="gramEnd"/>
      <w:r w:rsidRPr="00F2503B">
        <w:rPr>
          <w:sz w:val="22"/>
          <w:szCs w:val="22"/>
          <w:lang w:val="it-IT"/>
        </w:rPr>
        <w:t>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 xml:space="preserve">[Luogo e </w:t>
      </w:r>
      <w:proofErr w:type="gramStart"/>
      <w:r w:rsidRPr="00F2503B">
        <w:rPr>
          <w:i/>
          <w:sz w:val="22"/>
          <w:szCs w:val="22"/>
          <w:lang w:val="it-IT"/>
        </w:rPr>
        <w:t>Data]</w:t>
      </w:r>
      <w:r w:rsidRPr="00F2503B">
        <w:rPr>
          <w:sz w:val="22"/>
          <w:szCs w:val="22"/>
          <w:lang w:val="it-IT"/>
        </w:rPr>
        <w:t>_</w:t>
      </w:r>
      <w:proofErr w:type="gramEnd"/>
      <w:r w:rsidRPr="00F2503B">
        <w:rPr>
          <w:sz w:val="22"/>
          <w:szCs w:val="22"/>
          <w:lang w:val="it-IT"/>
        </w:rPr>
        <w:t>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w:t>
      </w:r>
      <w:proofErr w:type="spellEnd"/>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lastRenderedPageBreak/>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w:t>
      </w:r>
      <w:proofErr w:type="spellStart"/>
      <w:r w:rsidR="000C4F8D" w:rsidRPr="00F2503B">
        <w:rPr>
          <w:i/>
          <w:sz w:val="22"/>
          <w:szCs w:val="22"/>
          <w:lang w:val="it-IT"/>
        </w:rPr>
        <w:t>lett</w:t>
      </w:r>
      <w:proofErr w:type="spellEnd"/>
      <w:r w:rsidR="000C4F8D" w:rsidRPr="00F2503B">
        <w:rPr>
          <w:i/>
          <w:sz w:val="22"/>
          <w:szCs w:val="22"/>
          <w:lang w:val="it-IT"/>
        </w:rPr>
        <w:t xml:space="preserve">.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E30CBD">
      <w:headerReference w:type="default" r:id="rId19"/>
      <w:footerReference w:type="even" r:id="rId20"/>
      <w:footerReference w:type="default" r:id="rId2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276" w:rsidRDefault="00605276">
      <w:r>
        <w:separator/>
      </w:r>
    </w:p>
  </w:endnote>
  <w:endnote w:type="continuationSeparator" w:id="0">
    <w:p w:rsidR="00605276" w:rsidRDefault="0060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2C" w:rsidRDefault="00F45D2C"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F45D2C" w:rsidRDefault="00F45D2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2C" w:rsidRPr="001058CD" w:rsidRDefault="00F45D2C"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75029A">
      <w:rPr>
        <w:rStyle w:val="Numeropagina"/>
        <w:rFonts w:ascii="Verdana" w:hAnsi="Verdana"/>
        <w:noProof/>
        <w:sz w:val="16"/>
        <w:szCs w:val="16"/>
      </w:rPr>
      <w:t>20</w:t>
    </w:r>
    <w:r w:rsidRPr="001058CD">
      <w:rPr>
        <w:rStyle w:val="Numeropagina"/>
        <w:rFonts w:ascii="Verdana" w:hAnsi="Verdana"/>
        <w:sz w:val="16"/>
        <w:szCs w:val="16"/>
      </w:rPr>
      <w:fldChar w:fldCharType="end"/>
    </w:r>
  </w:p>
  <w:p w:rsidR="00F45D2C" w:rsidRPr="00675E40" w:rsidRDefault="00F45D2C" w:rsidP="00F625ED">
    <w:pPr>
      <w:pStyle w:val="Pidipagina"/>
      <w:ind w:right="360"/>
      <w:rPr>
        <w:smallCaps/>
        <w:sz w:val="8"/>
        <w:szCs w:val="16"/>
        <w:lang w:val="it-IT"/>
      </w:rPr>
    </w:pPr>
  </w:p>
  <w:p w:rsidR="00F45D2C" w:rsidRPr="00242DE7" w:rsidRDefault="00F45D2C">
    <w:pPr>
      <w:pStyle w:val="Pidipagina"/>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276" w:rsidRDefault="00605276">
      <w:r>
        <w:separator/>
      </w:r>
    </w:p>
  </w:footnote>
  <w:footnote w:type="continuationSeparator" w:id="0">
    <w:p w:rsidR="00605276" w:rsidRDefault="006052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2C" w:rsidRPr="002A6576" w:rsidRDefault="00F45D2C" w:rsidP="00DB16C8">
    <w:pPr>
      <w:pStyle w:val="Intestazione"/>
      <w:jc w:val="center"/>
      <w:rPr>
        <w:i/>
        <w:sz w:val="16"/>
        <w:szCs w:val="16"/>
        <w:lang w:bidi="it-IT"/>
      </w:rPr>
    </w:pPr>
  </w:p>
  <w:p w:rsidR="00F45D2C" w:rsidRPr="00366CD3" w:rsidRDefault="00F45D2C" w:rsidP="00DB16C8">
    <w:pPr>
      <w:pStyle w:val="Intestazione"/>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3DEC"/>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249"/>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76"/>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29A"/>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3C6"/>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4E8"/>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CBD"/>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5D2C"/>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810"/>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DA7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712C9-2697-42EA-B751-F6D4CD9A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8073</Words>
  <Characters>46021</Characters>
  <Application>Microsoft Office Word</Application>
  <DocSecurity>0</DocSecurity>
  <Lines>383</Lines>
  <Paragraphs>107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53987</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2020-11-02T11:07:00Z</dcterms:created>
  <dcterms:modified xsi:type="dcterms:W3CDTF">2020-11-04T15:25:00Z</dcterms:modified>
</cp:coreProperties>
</file>